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2A0" w:rsidRDefault="002402A0" w:rsidP="002402A0">
      <w:pPr>
        <w:spacing w:after="0"/>
        <w:jc w:val="both"/>
        <w:rPr>
          <w:rFonts w:ascii="Arial" w:hAnsi="Arial" w:cs="Arial"/>
          <w:b/>
          <w:i/>
        </w:rPr>
      </w:pPr>
      <w:bookmarkStart w:id="0" w:name="_GoBack"/>
      <w:bookmarkEnd w:id="0"/>
      <w:r w:rsidRPr="002402A0">
        <w:rPr>
          <w:rFonts w:ascii="Arial" w:hAnsi="Arial" w:cs="Arial"/>
          <w:b/>
          <w:i/>
        </w:rPr>
        <w:t>“Confidential”</w:t>
      </w:r>
    </w:p>
    <w:p w:rsidR="002402A0" w:rsidRPr="002402A0" w:rsidRDefault="002402A0" w:rsidP="002402A0">
      <w:pPr>
        <w:spacing w:after="0"/>
        <w:jc w:val="both"/>
        <w:rPr>
          <w:rFonts w:ascii="Arial" w:hAnsi="Arial" w:cs="Arial"/>
          <w:b/>
          <w:i/>
        </w:rPr>
      </w:pPr>
    </w:p>
    <w:p w:rsidR="002402A0" w:rsidRDefault="00680BE7" w:rsidP="002402A0">
      <w:pPr>
        <w:spacing w:after="0"/>
        <w:jc w:val="both"/>
        <w:rPr>
          <w:rFonts w:ascii="Arial" w:hAnsi="Arial" w:cs="Arial"/>
        </w:rPr>
      </w:pPr>
      <w:r>
        <w:rPr>
          <w:rFonts w:ascii="Arial" w:hAnsi="Arial" w:cs="Arial"/>
        </w:rPr>
        <w:t>5 February</w:t>
      </w:r>
      <w:r w:rsidR="002402A0">
        <w:rPr>
          <w:rFonts w:ascii="Arial" w:hAnsi="Arial" w:cs="Arial"/>
        </w:rPr>
        <w:t xml:space="preserve"> 2019</w:t>
      </w:r>
    </w:p>
    <w:p w:rsidR="002402A0" w:rsidRDefault="002402A0" w:rsidP="002402A0">
      <w:pPr>
        <w:spacing w:after="0"/>
        <w:jc w:val="both"/>
        <w:rPr>
          <w:rFonts w:ascii="Arial" w:hAnsi="Arial" w:cs="Arial"/>
        </w:rPr>
      </w:pPr>
    </w:p>
    <w:p w:rsidR="002402A0" w:rsidRDefault="002402A0" w:rsidP="00664BEF">
      <w:pPr>
        <w:spacing w:after="0" w:line="360" w:lineRule="auto"/>
        <w:jc w:val="both"/>
        <w:rPr>
          <w:rFonts w:ascii="Arial" w:hAnsi="Arial" w:cs="Arial"/>
        </w:rPr>
      </w:pPr>
      <w:r>
        <w:rPr>
          <w:rFonts w:ascii="Arial" w:hAnsi="Arial" w:cs="Arial"/>
        </w:rPr>
        <w:t>The Honorable Alvick Maharaj</w:t>
      </w:r>
    </w:p>
    <w:p w:rsidR="002402A0" w:rsidRDefault="002402A0" w:rsidP="00664BEF">
      <w:pPr>
        <w:spacing w:after="0" w:line="360" w:lineRule="auto"/>
        <w:jc w:val="both"/>
        <w:rPr>
          <w:rFonts w:ascii="Arial" w:hAnsi="Arial" w:cs="Arial"/>
        </w:rPr>
      </w:pPr>
      <w:r>
        <w:rPr>
          <w:rFonts w:ascii="Arial" w:hAnsi="Arial" w:cs="Arial"/>
        </w:rPr>
        <w:t>The Chairperson</w:t>
      </w:r>
    </w:p>
    <w:p w:rsidR="002402A0" w:rsidRDefault="002402A0" w:rsidP="00664BEF">
      <w:pPr>
        <w:spacing w:after="0" w:line="360" w:lineRule="auto"/>
        <w:jc w:val="both"/>
        <w:rPr>
          <w:rFonts w:ascii="Arial" w:hAnsi="Arial" w:cs="Arial"/>
        </w:rPr>
      </w:pPr>
      <w:r>
        <w:rPr>
          <w:rFonts w:ascii="Arial" w:hAnsi="Arial" w:cs="Arial"/>
        </w:rPr>
        <w:t>Standing Committee on Justice,</w:t>
      </w:r>
    </w:p>
    <w:p w:rsidR="002402A0" w:rsidRDefault="002402A0" w:rsidP="00664BEF">
      <w:pPr>
        <w:spacing w:after="0" w:line="360" w:lineRule="auto"/>
        <w:jc w:val="both"/>
        <w:rPr>
          <w:rFonts w:ascii="Arial" w:hAnsi="Arial" w:cs="Arial"/>
        </w:rPr>
      </w:pPr>
      <w:r>
        <w:rPr>
          <w:rFonts w:ascii="Arial" w:hAnsi="Arial" w:cs="Arial"/>
        </w:rPr>
        <w:t>Law and Human Rights Committee</w:t>
      </w:r>
    </w:p>
    <w:p w:rsidR="002402A0" w:rsidRDefault="002402A0" w:rsidP="00664BEF">
      <w:pPr>
        <w:spacing w:after="0" w:line="360" w:lineRule="auto"/>
        <w:jc w:val="both"/>
        <w:rPr>
          <w:rFonts w:ascii="Arial" w:hAnsi="Arial" w:cs="Arial"/>
        </w:rPr>
      </w:pPr>
      <w:r>
        <w:rPr>
          <w:rFonts w:ascii="Arial" w:hAnsi="Arial" w:cs="Arial"/>
        </w:rPr>
        <w:t>Government Buildings</w:t>
      </w:r>
    </w:p>
    <w:p w:rsidR="002402A0" w:rsidRPr="002402A0" w:rsidRDefault="002402A0" w:rsidP="00664BEF">
      <w:pPr>
        <w:spacing w:after="0" w:line="360" w:lineRule="auto"/>
        <w:jc w:val="both"/>
        <w:rPr>
          <w:rFonts w:ascii="Arial" w:hAnsi="Arial" w:cs="Arial"/>
          <w:b/>
          <w:u w:val="single"/>
        </w:rPr>
      </w:pPr>
      <w:r w:rsidRPr="002402A0">
        <w:rPr>
          <w:rFonts w:ascii="Arial" w:hAnsi="Arial" w:cs="Arial"/>
          <w:b/>
          <w:u w:val="single"/>
        </w:rPr>
        <w:t>SUVA.</w:t>
      </w:r>
    </w:p>
    <w:p w:rsidR="002402A0" w:rsidRPr="002402A0" w:rsidRDefault="002402A0" w:rsidP="002402A0">
      <w:pPr>
        <w:jc w:val="both"/>
        <w:rPr>
          <w:rFonts w:ascii="Arial" w:hAnsi="Arial" w:cs="Arial"/>
        </w:rPr>
      </w:pPr>
    </w:p>
    <w:p w:rsidR="007C30DD" w:rsidRPr="002402A0" w:rsidRDefault="002402A0" w:rsidP="002402A0">
      <w:pPr>
        <w:jc w:val="both"/>
        <w:rPr>
          <w:rFonts w:ascii="Arial" w:hAnsi="Arial" w:cs="Arial"/>
          <w:b/>
          <w:u w:val="single"/>
        </w:rPr>
      </w:pPr>
      <w:r>
        <w:rPr>
          <w:rFonts w:ascii="Arial" w:hAnsi="Arial" w:cs="Arial"/>
          <w:b/>
          <w:u w:val="single"/>
        </w:rPr>
        <w:t>RE</w:t>
      </w:r>
      <w:r>
        <w:rPr>
          <w:rFonts w:ascii="Arial" w:hAnsi="Arial" w:cs="Arial"/>
          <w:b/>
          <w:u w:val="single"/>
        </w:rPr>
        <w:tab/>
        <w:t>:</w:t>
      </w:r>
      <w:r>
        <w:rPr>
          <w:rFonts w:ascii="Arial" w:hAnsi="Arial" w:cs="Arial"/>
          <w:b/>
          <w:u w:val="single"/>
        </w:rPr>
        <w:tab/>
      </w:r>
      <w:r w:rsidR="00924175" w:rsidRPr="002402A0">
        <w:rPr>
          <w:rFonts w:ascii="Arial" w:hAnsi="Arial" w:cs="Arial"/>
          <w:b/>
          <w:u w:val="single"/>
        </w:rPr>
        <w:t>Code of Conduct Bill No. 33 of 2018</w:t>
      </w:r>
      <w:r>
        <w:rPr>
          <w:rFonts w:ascii="Arial" w:hAnsi="Arial" w:cs="Arial"/>
          <w:b/>
          <w:u w:val="single"/>
        </w:rPr>
        <w:t xml:space="preserve"> Submission</w:t>
      </w:r>
    </w:p>
    <w:p w:rsidR="00117DC6" w:rsidRDefault="0068207E" w:rsidP="004D4A4D">
      <w:pPr>
        <w:spacing w:line="360" w:lineRule="auto"/>
        <w:jc w:val="both"/>
        <w:rPr>
          <w:rFonts w:ascii="Arial" w:hAnsi="Arial" w:cs="Arial"/>
        </w:rPr>
      </w:pPr>
      <w:r>
        <w:rPr>
          <w:rFonts w:ascii="Arial" w:hAnsi="Arial" w:cs="Arial"/>
        </w:rPr>
        <w:t>The Fijian Competition and Consumer Commission (FCCC) is honored to be invited and be given an opportunity to provide its comments and make submissions in regards to the proposed Code of Conduct Bill. First and foremost, a</w:t>
      </w:r>
      <w:r w:rsidR="00260AC8">
        <w:rPr>
          <w:rFonts w:ascii="Arial" w:hAnsi="Arial" w:cs="Arial"/>
        </w:rPr>
        <w:t xml:space="preserve">ccountability and transparency are </w:t>
      </w:r>
      <w:r w:rsidR="0094012B">
        <w:rPr>
          <w:rFonts w:ascii="Arial" w:hAnsi="Arial" w:cs="Arial"/>
        </w:rPr>
        <w:t xml:space="preserve">core ethos of </w:t>
      </w:r>
      <w:r w:rsidR="005A3647">
        <w:rPr>
          <w:rFonts w:ascii="Arial" w:hAnsi="Arial" w:cs="Arial"/>
        </w:rPr>
        <w:t xml:space="preserve">a public official which are </w:t>
      </w:r>
      <w:r w:rsidR="0094012B">
        <w:rPr>
          <w:rFonts w:ascii="Arial" w:hAnsi="Arial" w:cs="Arial"/>
        </w:rPr>
        <w:t xml:space="preserve">embedded in the </w:t>
      </w:r>
      <w:r w:rsidR="00983C90">
        <w:rPr>
          <w:rFonts w:ascii="Arial" w:hAnsi="Arial" w:cs="Arial"/>
        </w:rPr>
        <w:t>Fijian Constitution</w:t>
      </w:r>
      <w:r w:rsidR="0094012B">
        <w:rPr>
          <w:rFonts w:ascii="Arial" w:hAnsi="Arial" w:cs="Arial"/>
        </w:rPr>
        <w:t xml:space="preserve">. </w:t>
      </w:r>
      <w:r w:rsidR="00991E19">
        <w:rPr>
          <w:rFonts w:ascii="Arial" w:hAnsi="Arial" w:cs="Arial"/>
        </w:rPr>
        <w:t xml:space="preserve">The </w:t>
      </w:r>
      <w:r w:rsidR="00983C90">
        <w:rPr>
          <w:rFonts w:ascii="Arial" w:hAnsi="Arial" w:cs="Arial"/>
        </w:rPr>
        <w:t>Constitution</w:t>
      </w:r>
      <w:r w:rsidR="00991E19">
        <w:rPr>
          <w:rFonts w:ascii="Arial" w:hAnsi="Arial" w:cs="Arial"/>
        </w:rPr>
        <w:t xml:space="preserve"> Preamble clearly states that the Constitution is the supreme law of the country and it provides the framework for the conduct of Government and all Fijians.</w:t>
      </w:r>
      <w:r>
        <w:rPr>
          <w:rFonts w:ascii="Arial" w:hAnsi="Arial" w:cs="Arial"/>
        </w:rPr>
        <w:t xml:space="preserve"> This</w:t>
      </w:r>
      <w:r w:rsidR="00983C90">
        <w:rPr>
          <w:rFonts w:ascii="Arial" w:hAnsi="Arial" w:cs="Arial"/>
        </w:rPr>
        <w:t xml:space="preserve"> Code of Conduct Bill (Bill) gives effect to Section 149 of the Fijian Constitution. </w:t>
      </w:r>
    </w:p>
    <w:p w:rsidR="00AA2655" w:rsidRDefault="00117DC6" w:rsidP="004D4A4D">
      <w:pPr>
        <w:spacing w:line="360" w:lineRule="auto"/>
        <w:jc w:val="both"/>
        <w:rPr>
          <w:rFonts w:ascii="Arial" w:hAnsi="Arial" w:cs="Arial"/>
        </w:rPr>
      </w:pPr>
      <w:r>
        <w:rPr>
          <w:rFonts w:ascii="Arial" w:hAnsi="Arial" w:cs="Arial"/>
        </w:rPr>
        <w:t>The Bill</w:t>
      </w:r>
      <w:r w:rsidR="005A3647">
        <w:rPr>
          <w:rFonts w:ascii="Arial" w:hAnsi="Arial" w:cs="Arial"/>
        </w:rPr>
        <w:t xml:space="preserve"> legally binds public officials </w:t>
      </w:r>
      <w:r>
        <w:rPr>
          <w:rFonts w:ascii="Arial" w:hAnsi="Arial" w:cs="Arial"/>
        </w:rPr>
        <w:t>including Chief Executive Officer</w:t>
      </w:r>
      <w:r w:rsidR="005A3647">
        <w:rPr>
          <w:rFonts w:ascii="Arial" w:hAnsi="Arial" w:cs="Arial"/>
        </w:rPr>
        <w:t>s</w:t>
      </w:r>
      <w:r>
        <w:rPr>
          <w:rFonts w:ascii="Arial" w:hAnsi="Arial" w:cs="Arial"/>
        </w:rPr>
        <w:t xml:space="preserve"> and Board of </w:t>
      </w:r>
      <w:r w:rsidR="00AA2655">
        <w:rPr>
          <w:rFonts w:ascii="Arial" w:hAnsi="Arial" w:cs="Arial"/>
        </w:rPr>
        <w:t xml:space="preserve">statutory authorities. Schedules 4 and 5 </w:t>
      </w:r>
      <w:r w:rsidR="00B5585D">
        <w:rPr>
          <w:rFonts w:ascii="Arial" w:hAnsi="Arial" w:cs="Arial"/>
        </w:rPr>
        <w:t>of the Bill clearly outlines</w:t>
      </w:r>
      <w:r w:rsidR="00C230CD">
        <w:rPr>
          <w:rFonts w:ascii="Arial" w:hAnsi="Arial" w:cs="Arial"/>
        </w:rPr>
        <w:t xml:space="preserve"> </w:t>
      </w:r>
      <w:r w:rsidR="00AA2655">
        <w:rPr>
          <w:rFonts w:ascii="Arial" w:hAnsi="Arial" w:cs="Arial"/>
        </w:rPr>
        <w:t>the Board’s and CEOs Code of Conduct</w:t>
      </w:r>
      <w:r w:rsidR="00B5585D">
        <w:rPr>
          <w:rFonts w:ascii="Arial" w:hAnsi="Arial" w:cs="Arial"/>
        </w:rPr>
        <w:t xml:space="preserve"> respectively</w:t>
      </w:r>
      <w:r w:rsidR="00AA2655">
        <w:rPr>
          <w:rFonts w:ascii="Arial" w:hAnsi="Arial" w:cs="Arial"/>
        </w:rPr>
        <w:t xml:space="preserve">. The fact that the Board and CEO are bound to </w:t>
      </w:r>
      <w:r w:rsidR="00184EED">
        <w:rPr>
          <w:rFonts w:ascii="Arial" w:hAnsi="Arial" w:cs="Arial"/>
        </w:rPr>
        <w:t>the Bill ensures a</w:t>
      </w:r>
      <w:r w:rsidR="0094012B">
        <w:rPr>
          <w:rFonts w:ascii="Arial" w:hAnsi="Arial" w:cs="Arial"/>
        </w:rPr>
        <w:t xml:space="preserve"> high </w:t>
      </w:r>
      <w:r w:rsidR="00B5585D">
        <w:rPr>
          <w:rFonts w:ascii="Arial" w:hAnsi="Arial" w:cs="Arial"/>
        </w:rPr>
        <w:t>degree</w:t>
      </w:r>
      <w:r w:rsidR="0094012B">
        <w:rPr>
          <w:rFonts w:ascii="Arial" w:hAnsi="Arial" w:cs="Arial"/>
        </w:rPr>
        <w:t xml:space="preserve"> of accountability</w:t>
      </w:r>
      <w:r w:rsidR="00184EED">
        <w:rPr>
          <w:rFonts w:ascii="Arial" w:hAnsi="Arial" w:cs="Arial"/>
        </w:rPr>
        <w:t>.</w:t>
      </w:r>
      <w:r w:rsidR="008C7139">
        <w:rPr>
          <w:rFonts w:ascii="Arial" w:hAnsi="Arial" w:cs="Arial"/>
        </w:rPr>
        <w:t xml:space="preserve"> As the CEO </w:t>
      </w:r>
      <w:r w:rsidR="00E028CA">
        <w:rPr>
          <w:rFonts w:ascii="Arial" w:hAnsi="Arial" w:cs="Arial"/>
        </w:rPr>
        <w:t>of FCCC I</w:t>
      </w:r>
      <w:r w:rsidR="008C7139">
        <w:rPr>
          <w:rFonts w:ascii="Arial" w:hAnsi="Arial" w:cs="Arial"/>
        </w:rPr>
        <w:t xml:space="preserve"> fully support the Bill and commend the efforts of the Fijian Government in </w:t>
      </w:r>
      <w:r w:rsidR="00D812F7">
        <w:rPr>
          <w:rFonts w:ascii="Arial" w:hAnsi="Arial" w:cs="Arial"/>
        </w:rPr>
        <w:t xml:space="preserve">realizing Section 149 of the </w:t>
      </w:r>
      <w:r w:rsidR="00582083">
        <w:rPr>
          <w:rFonts w:ascii="Arial" w:hAnsi="Arial" w:cs="Arial"/>
        </w:rPr>
        <w:t>Constitution.</w:t>
      </w:r>
    </w:p>
    <w:p w:rsidR="00A52B53" w:rsidRDefault="00A52B53" w:rsidP="004D4A4D">
      <w:pPr>
        <w:spacing w:line="360" w:lineRule="auto"/>
        <w:jc w:val="both"/>
        <w:rPr>
          <w:rFonts w:ascii="Arial" w:hAnsi="Arial" w:cs="Arial"/>
        </w:rPr>
      </w:pPr>
      <w:r>
        <w:rPr>
          <w:rFonts w:ascii="Arial" w:hAnsi="Arial" w:cs="Arial"/>
        </w:rPr>
        <w:t xml:space="preserve">Being a CEO of statutory body and given that </w:t>
      </w:r>
      <w:r w:rsidR="00A55815">
        <w:rPr>
          <w:rFonts w:ascii="Arial" w:hAnsi="Arial" w:cs="Arial"/>
        </w:rPr>
        <w:t xml:space="preserve">FCCC protects consumer interests, promotes competition and regulate markets where competition is lessened or limited, stakeholders, consumers </w:t>
      </w:r>
      <w:r w:rsidR="00FC45E7">
        <w:rPr>
          <w:rFonts w:ascii="Arial" w:hAnsi="Arial" w:cs="Arial"/>
        </w:rPr>
        <w:t>and agents need to be aware as an official, there is a high degree of expected behavior</w:t>
      </w:r>
      <w:r w:rsidR="00582083">
        <w:rPr>
          <w:rFonts w:ascii="Arial" w:hAnsi="Arial" w:cs="Arial"/>
        </w:rPr>
        <w:t>.</w:t>
      </w:r>
      <w:r w:rsidR="00C43681">
        <w:rPr>
          <w:rFonts w:ascii="Arial" w:hAnsi="Arial" w:cs="Arial"/>
        </w:rPr>
        <w:t xml:space="preserve"> </w:t>
      </w:r>
      <w:r w:rsidR="005A01E5">
        <w:rPr>
          <w:rFonts w:ascii="Arial" w:hAnsi="Arial" w:cs="Arial"/>
        </w:rPr>
        <w:t>Consumers and stakeholders</w:t>
      </w:r>
      <w:r w:rsidR="00D832E3">
        <w:rPr>
          <w:rFonts w:ascii="Arial" w:hAnsi="Arial" w:cs="Arial"/>
        </w:rPr>
        <w:t xml:space="preserve"> are give</w:t>
      </w:r>
      <w:r w:rsidR="004358C0">
        <w:rPr>
          <w:rFonts w:ascii="Arial" w:hAnsi="Arial" w:cs="Arial"/>
        </w:rPr>
        <w:t>n the opportunit</w:t>
      </w:r>
      <w:r w:rsidR="00BD25EC">
        <w:rPr>
          <w:rFonts w:ascii="Arial" w:hAnsi="Arial" w:cs="Arial"/>
        </w:rPr>
        <w:t xml:space="preserve">y to report suspected breach and maximum penalties if convicted is a term of 10years or </w:t>
      </w:r>
      <w:r w:rsidR="00B73411">
        <w:rPr>
          <w:rFonts w:ascii="Arial" w:hAnsi="Arial" w:cs="Arial"/>
        </w:rPr>
        <w:t>imprisonment not exceeding 5years or both.</w:t>
      </w:r>
      <w:r w:rsidR="00BD25EC">
        <w:rPr>
          <w:rFonts w:ascii="Arial" w:hAnsi="Arial" w:cs="Arial"/>
        </w:rPr>
        <w:t xml:space="preserve"> </w:t>
      </w:r>
      <w:r w:rsidR="00C43681">
        <w:rPr>
          <w:rFonts w:ascii="Arial" w:hAnsi="Arial" w:cs="Arial"/>
        </w:rPr>
        <w:t xml:space="preserve">Apart from the expected behavior there is also the </w:t>
      </w:r>
      <w:r w:rsidR="008300C4">
        <w:rPr>
          <w:rFonts w:ascii="Arial" w:hAnsi="Arial" w:cs="Arial"/>
        </w:rPr>
        <w:t>provision of declaring interests, financials, assets and liabilities every year</w:t>
      </w:r>
      <w:r w:rsidR="00832937">
        <w:rPr>
          <w:rFonts w:ascii="Arial" w:hAnsi="Arial" w:cs="Arial"/>
        </w:rPr>
        <w:t xml:space="preserve">. </w:t>
      </w:r>
      <w:r w:rsidR="008300C4">
        <w:rPr>
          <w:rFonts w:ascii="Arial" w:hAnsi="Arial" w:cs="Arial"/>
        </w:rPr>
        <w:t xml:space="preserve"> </w:t>
      </w:r>
    </w:p>
    <w:p w:rsidR="00C6088A" w:rsidRDefault="00C6088A" w:rsidP="004D4A4D">
      <w:pPr>
        <w:spacing w:line="360" w:lineRule="auto"/>
        <w:jc w:val="both"/>
        <w:rPr>
          <w:rFonts w:ascii="Arial" w:hAnsi="Arial" w:cs="Arial"/>
        </w:rPr>
      </w:pPr>
    </w:p>
    <w:p w:rsidR="00C6088A" w:rsidRDefault="00C6088A" w:rsidP="004D4A4D">
      <w:pPr>
        <w:spacing w:line="360" w:lineRule="auto"/>
        <w:jc w:val="both"/>
        <w:rPr>
          <w:rFonts w:ascii="Arial" w:hAnsi="Arial" w:cs="Arial"/>
        </w:rPr>
      </w:pPr>
    </w:p>
    <w:p w:rsidR="00C6088A" w:rsidRDefault="00C6088A" w:rsidP="004D4A4D">
      <w:pPr>
        <w:spacing w:line="360" w:lineRule="auto"/>
        <w:jc w:val="both"/>
        <w:rPr>
          <w:rFonts w:ascii="Arial" w:hAnsi="Arial" w:cs="Arial"/>
        </w:rPr>
      </w:pPr>
    </w:p>
    <w:p w:rsidR="00924175" w:rsidRPr="00991B38" w:rsidRDefault="007030E5" w:rsidP="004D4A4D">
      <w:pPr>
        <w:spacing w:line="360" w:lineRule="auto"/>
        <w:jc w:val="both"/>
        <w:rPr>
          <w:rFonts w:ascii="Arial" w:hAnsi="Arial" w:cs="Arial"/>
        </w:rPr>
      </w:pPr>
      <w:r>
        <w:rPr>
          <w:rFonts w:ascii="Arial" w:hAnsi="Arial" w:cs="Arial"/>
        </w:rPr>
        <w:t>Below is a summary of FCCC’</w:t>
      </w:r>
      <w:r w:rsidR="00957DEB">
        <w:rPr>
          <w:rFonts w:ascii="Arial" w:hAnsi="Arial" w:cs="Arial"/>
        </w:rPr>
        <w:t>s submission on the Bill:</w:t>
      </w:r>
      <w:r w:rsidR="0094012B">
        <w:rPr>
          <w:rFonts w:ascii="Arial" w:hAnsi="Arial" w:cs="Arial"/>
        </w:rPr>
        <w:tab/>
      </w:r>
    </w:p>
    <w:tbl>
      <w:tblPr>
        <w:tblStyle w:val="TableGrid"/>
        <w:tblW w:w="0" w:type="auto"/>
        <w:tblLook w:val="04A0" w:firstRow="1" w:lastRow="0" w:firstColumn="1" w:lastColumn="0" w:noHBand="0" w:noVBand="1"/>
      </w:tblPr>
      <w:tblGrid>
        <w:gridCol w:w="963"/>
        <w:gridCol w:w="1452"/>
        <w:gridCol w:w="1720"/>
        <w:gridCol w:w="5144"/>
      </w:tblGrid>
      <w:tr w:rsidR="0037026F" w:rsidTr="0037026F">
        <w:trPr>
          <w:trHeight w:val="482"/>
        </w:trPr>
        <w:tc>
          <w:tcPr>
            <w:tcW w:w="963" w:type="dxa"/>
          </w:tcPr>
          <w:p w:rsidR="0037026F" w:rsidRPr="00924175" w:rsidRDefault="0037026F" w:rsidP="00924175">
            <w:pPr>
              <w:jc w:val="center"/>
              <w:rPr>
                <w:rFonts w:ascii="Arial" w:hAnsi="Arial" w:cs="Arial"/>
                <w:b/>
              </w:rPr>
            </w:pPr>
            <w:r w:rsidRPr="00924175">
              <w:rPr>
                <w:rFonts w:ascii="Arial" w:hAnsi="Arial" w:cs="Arial"/>
                <w:b/>
              </w:rPr>
              <w:t>Part</w:t>
            </w:r>
          </w:p>
        </w:tc>
        <w:tc>
          <w:tcPr>
            <w:tcW w:w="1452" w:type="dxa"/>
          </w:tcPr>
          <w:p w:rsidR="0037026F" w:rsidRPr="00924175" w:rsidRDefault="0037026F" w:rsidP="00924175">
            <w:pPr>
              <w:jc w:val="center"/>
              <w:rPr>
                <w:rFonts w:ascii="Arial" w:hAnsi="Arial" w:cs="Arial"/>
                <w:b/>
              </w:rPr>
            </w:pPr>
            <w:r w:rsidRPr="00924175">
              <w:rPr>
                <w:rFonts w:ascii="Arial" w:hAnsi="Arial" w:cs="Arial"/>
                <w:b/>
              </w:rPr>
              <w:t>Clause</w:t>
            </w:r>
          </w:p>
        </w:tc>
        <w:tc>
          <w:tcPr>
            <w:tcW w:w="1720" w:type="dxa"/>
          </w:tcPr>
          <w:p w:rsidR="0037026F" w:rsidRPr="00924175" w:rsidRDefault="0037026F" w:rsidP="00924175">
            <w:pPr>
              <w:jc w:val="center"/>
              <w:rPr>
                <w:rFonts w:ascii="Arial" w:hAnsi="Arial" w:cs="Arial"/>
                <w:b/>
              </w:rPr>
            </w:pPr>
            <w:r w:rsidRPr="00924175">
              <w:rPr>
                <w:rFonts w:ascii="Arial" w:hAnsi="Arial" w:cs="Arial"/>
                <w:b/>
              </w:rPr>
              <w:t>Sub-Clause</w:t>
            </w:r>
          </w:p>
        </w:tc>
        <w:tc>
          <w:tcPr>
            <w:tcW w:w="5144" w:type="dxa"/>
          </w:tcPr>
          <w:p w:rsidR="0037026F" w:rsidRPr="00924175" w:rsidRDefault="0037026F" w:rsidP="00924175">
            <w:pPr>
              <w:jc w:val="center"/>
              <w:rPr>
                <w:rFonts w:ascii="Arial" w:hAnsi="Arial" w:cs="Arial"/>
                <w:b/>
              </w:rPr>
            </w:pPr>
            <w:r>
              <w:rPr>
                <w:rFonts w:ascii="Arial" w:hAnsi="Arial" w:cs="Arial"/>
                <w:b/>
              </w:rPr>
              <w:t>Comments</w:t>
            </w:r>
          </w:p>
        </w:tc>
      </w:tr>
      <w:tr w:rsidR="0037026F" w:rsidTr="0037026F">
        <w:trPr>
          <w:trHeight w:val="1199"/>
        </w:trPr>
        <w:tc>
          <w:tcPr>
            <w:tcW w:w="963" w:type="dxa"/>
          </w:tcPr>
          <w:p w:rsidR="0037026F" w:rsidRPr="00924175" w:rsidRDefault="0037026F" w:rsidP="0074182A">
            <w:pPr>
              <w:jc w:val="center"/>
              <w:rPr>
                <w:rFonts w:ascii="Arial" w:hAnsi="Arial" w:cs="Arial"/>
              </w:rPr>
            </w:pPr>
            <w:r>
              <w:rPr>
                <w:rFonts w:ascii="Arial" w:hAnsi="Arial" w:cs="Arial"/>
              </w:rPr>
              <w:t>2</w:t>
            </w:r>
          </w:p>
        </w:tc>
        <w:tc>
          <w:tcPr>
            <w:tcW w:w="1452" w:type="dxa"/>
          </w:tcPr>
          <w:p w:rsidR="0037026F" w:rsidRPr="00C87AA5" w:rsidRDefault="0037026F" w:rsidP="0074182A">
            <w:pPr>
              <w:jc w:val="center"/>
              <w:rPr>
                <w:rFonts w:ascii="Arial" w:hAnsi="Arial" w:cs="Arial"/>
              </w:rPr>
            </w:pPr>
            <w:r w:rsidRPr="00C87AA5">
              <w:rPr>
                <w:rFonts w:ascii="Arial" w:hAnsi="Arial" w:cs="Arial"/>
              </w:rPr>
              <w:t>5</w:t>
            </w:r>
          </w:p>
        </w:tc>
        <w:tc>
          <w:tcPr>
            <w:tcW w:w="1720" w:type="dxa"/>
          </w:tcPr>
          <w:p w:rsidR="0037026F" w:rsidRPr="00C87AA5" w:rsidRDefault="0037026F" w:rsidP="0074182A">
            <w:pPr>
              <w:jc w:val="center"/>
              <w:rPr>
                <w:rFonts w:ascii="Arial" w:hAnsi="Arial" w:cs="Arial"/>
              </w:rPr>
            </w:pPr>
            <w:r>
              <w:rPr>
                <w:rFonts w:ascii="Arial" w:hAnsi="Arial" w:cs="Arial"/>
              </w:rPr>
              <w:t>1</w:t>
            </w:r>
          </w:p>
        </w:tc>
        <w:tc>
          <w:tcPr>
            <w:tcW w:w="5144" w:type="dxa"/>
          </w:tcPr>
          <w:p w:rsidR="0037026F" w:rsidRPr="00C87AA5" w:rsidRDefault="0037026F" w:rsidP="00C6088A">
            <w:pPr>
              <w:spacing w:line="360" w:lineRule="auto"/>
              <w:jc w:val="both"/>
              <w:rPr>
                <w:rFonts w:ascii="Arial" w:hAnsi="Arial" w:cs="Arial"/>
              </w:rPr>
            </w:pPr>
            <w:r>
              <w:rPr>
                <w:rFonts w:ascii="Arial" w:hAnsi="Arial" w:cs="Arial"/>
              </w:rPr>
              <w:t xml:space="preserve">It is crucial that Commission staff, employees, agent or consultant are bound not to disclose information unless necessary to do so. </w:t>
            </w:r>
          </w:p>
        </w:tc>
      </w:tr>
      <w:tr w:rsidR="0037026F" w:rsidTr="0037026F">
        <w:trPr>
          <w:trHeight w:val="717"/>
        </w:trPr>
        <w:tc>
          <w:tcPr>
            <w:tcW w:w="963" w:type="dxa"/>
          </w:tcPr>
          <w:p w:rsidR="0037026F" w:rsidRDefault="0037026F" w:rsidP="0074182A">
            <w:pPr>
              <w:jc w:val="center"/>
              <w:rPr>
                <w:rFonts w:ascii="Arial" w:hAnsi="Arial" w:cs="Arial"/>
              </w:rPr>
            </w:pPr>
            <w:r>
              <w:rPr>
                <w:rFonts w:ascii="Arial" w:hAnsi="Arial" w:cs="Arial"/>
              </w:rPr>
              <w:t>2</w:t>
            </w:r>
          </w:p>
        </w:tc>
        <w:tc>
          <w:tcPr>
            <w:tcW w:w="1452" w:type="dxa"/>
          </w:tcPr>
          <w:p w:rsidR="0037026F" w:rsidRPr="00C87AA5" w:rsidRDefault="0037026F" w:rsidP="0074182A">
            <w:pPr>
              <w:jc w:val="center"/>
              <w:rPr>
                <w:rFonts w:ascii="Arial" w:hAnsi="Arial" w:cs="Arial"/>
              </w:rPr>
            </w:pPr>
            <w:r>
              <w:rPr>
                <w:rFonts w:ascii="Arial" w:hAnsi="Arial" w:cs="Arial"/>
              </w:rPr>
              <w:t>5</w:t>
            </w:r>
          </w:p>
        </w:tc>
        <w:tc>
          <w:tcPr>
            <w:tcW w:w="1720" w:type="dxa"/>
          </w:tcPr>
          <w:p w:rsidR="0037026F" w:rsidRDefault="0037026F" w:rsidP="0074182A">
            <w:pPr>
              <w:jc w:val="center"/>
              <w:rPr>
                <w:rFonts w:ascii="Arial" w:hAnsi="Arial" w:cs="Arial"/>
              </w:rPr>
            </w:pPr>
            <w:r>
              <w:rPr>
                <w:rFonts w:ascii="Arial" w:hAnsi="Arial" w:cs="Arial"/>
              </w:rPr>
              <w:t>2</w:t>
            </w:r>
          </w:p>
        </w:tc>
        <w:tc>
          <w:tcPr>
            <w:tcW w:w="5144" w:type="dxa"/>
          </w:tcPr>
          <w:p w:rsidR="0037026F" w:rsidRPr="00C87AA5" w:rsidRDefault="0037026F" w:rsidP="00C6088A">
            <w:pPr>
              <w:spacing w:line="360" w:lineRule="auto"/>
              <w:jc w:val="both"/>
              <w:rPr>
                <w:rFonts w:ascii="Arial" w:hAnsi="Arial" w:cs="Arial"/>
              </w:rPr>
            </w:pPr>
            <w:r>
              <w:rPr>
                <w:rFonts w:ascii="Arial" w:hAnsi="Arial" w:cs="Arial"/>
              </w:rPr>
              <w:t>Penalty of $10,000.00 or a term not ex</w:t>
            </w:r>
            <w:r w:rsidR="00680BE7">
              <w:rPr>
                <w:rFonts w:ascii="Arial" w:hAnsi="Arial" w:cs="Arial"/>
              </w:rPr>
              <w:t>ceeding 5years or both is a fair and reasonable</w:t>
            </w:r>
            <w:r>
              <w:rPr>
                <w:rFonts w:ascii="Arial" w:hAnsi="Arial" w:cs="Arial"/>
              </w:rPr>
              <w:t xml:space="preserve"> deterrent provision. </w:t>
            </w:r>
          </w:p>
        </w:tc>
      </w:tr>
      <w:tr w:rsidR="0037026F" w:rsidTr="0037026F">
        <w:trPr>
          <w:trHeight w:val="1199"/>
        </w:trPr>
        <w:tc>
          <w:tcPr>
            <w:tcW w:w="963" w:type="dxa"/>
          </w:tcPr>
          <w:p w:rsidR="0037026F" w:rsidRDefault="0037026F" w:rsidP="0074182A">
            <w:pPr>
              <w:jc w:val="center"/>
              <w:rPr>
                <w:rFonts w:ascii="Arial" w:hAnsi="Arial" w:cs="Arial"/>
              </w:rPr>
            </w:pPr>
            <w:r>
              <w:rPr>
                <w:rFonts w:ascii="Arial" w:hAnsi="Arial" w:cs="Arial"/>
              </w:rPr>
              <w:t>2</w:t>
            </w:r>
          </w:p>
        </w:tc>
        <w:tc>
          <w:tcPr>
            <w:tcW w:w="1452" w:type="dxa"/>
          </w:tcPr>
          <w:p w:rsidR="0037026F" w:rsidRDefault="0037026F" w:rsidP="0074182A">
            <w:pPr>
              <w:jc w:val="center"/>
              <w:rPr>
                <w:rFonts w:ascii="Arial" w:hAnsi="Arial" w:cs="Arial"/>
              </w:rPr>
            </w:pPr>
            <w:r>
              <w:rPr>
                <w:rFonts w:ascii="Arial" w:hAnsi="Arial" w:cs="Arial"/>
              </w:rPr>
              <w:t>6</w:t>
            </w:r>
          </w:p>
        </w:tc>
        <w:tc>
          <w:tcPr>
            <w:tcW w:w="1720" w:type="dxa"/>
          </w:tcPr>
          <w:p w:rsidR="0037026F" w:rsidRDefault="0037026F" w:rsidP="0074182A">
            <w:pPr>
              <w:jc w:val="center"/>
              <w:rPr>
                <w:rFonts w:ascii="Arial" w:hAnsi="Arial" w:cs="Arial"/>
              </w:rPr>
            </w:pPr>
            <w:r>
              <w:rPr>
                <w:rFonts w:ascii="Arial" w:hAnsi="Arial" w:cs="Arial"/>
              </w:rPr>
              <w:t>2</w:t>
            </w:r>
          </w:p>
        </w:tc>
        <w:tc>
          <w:tcPr>
            <w:tcW w:w="5144" w:type="dxa"/>
          </w:tcPr>
          <w:p w:rsidR="0037026F" w:rsidRDefault="0037026F" w:rsidP="00C6088A">
            <w:pPr>
              <w:spacing w:line="360" w:lineRule="auto"/>
              <w:jc w:val="both"/>
              <w:rPr>
                <w:rFonts w:ascii="Arial" w:hAnsi="Arial" w:cs="Arial"/>
              </w:rPr>
            </w:pPr>
            <w:r>
              <w:rPr>
                <w:rFonts w:ascii="Arial" w:hAnsi="Arial" w:cs="Arial"/>
              </w:rPr>
              <w:t>In the interest of confidentiality the names of any complainant and person the subject of complaint are not to be disclosed.</w:t>
            </w:r>
          </w:p>
        </w:tc>
      </w:tr>
      <w:tr w:rsidR="0037026F" w:rsidTr="0037026F">
        <w:trPr>
          <w:trHeight w:val="965"/>
        </w:trPr>
        <w:tc>
          <w:tcPr>
            <w:tcW w:w="963" w:type="dxa"/>
          </w:tcPr>
          <w:p w:rsidR="0037026F" w:rsidRPr="0074182A" w:rsidRDefault="0037026F" w:rsidP="0074182A">
            <w:pPr>
              <w:jc w:val="center"/>
              <w:rPr>
                <w:rFonts w:ascii="Arial" w:hAnsi="Arial" w:cs="Arial"/>
              </w:rPr>
            </w:pPr>
            <w:r w:rsidRPr="0074182A">
              <w:rPr>
                <w:rFonts w:ascii="Arial" w:hAnsi="Arial" w:cs="Arial"/>
              </w:rPr>
              <w:t>3</w:t>
            </w:r>
          </w:p>
        </w:tc>
        <w:tc>
          <w:tcPr>
            <w:tcW w:w="1452" w:type="dxa"/>
          </w:tcPr>
          <w:p w:rsidR="0037026F" w:rsidRPr="00030770" w:rsidRDefault="0037026F" w:rsidP="0074182A">
            <w:pPr>
              <w:jc w:val="center"/>
              <w:rPr>
                <w:rFonts w:ascii="Arial" w:hAnsi="Arial" w:cs="Arial"/>
              </w:rPr>
            </w:pPr>
            <w:r w:rsidRPr="00030770">
              <w:rPr>
                <w:rFonts w:ascii="Arial" w:hAnsi="Arial" w:cs="Arial"/>
              </w:rPr>
              <w:t>7</w:t>
            </w:r>
          </w:p>
        </w:tc>
        <w:tc>
          <w:tcPr>
            <w:tcW w:w="1720" w:type="dxa"/>
          </w:tcPr>
          <w:p w:rsidR="0037026F" w:rsidRPr="001206A6" w:rsidRDefault="0037026F" w:rsidP="0074182A">
            <w:pPr>
              <w:jc w:val="center"/>
              <w:rPr>
                <w:rFonts w:ascii="Arial" w:hAnsi="Arial" w:cs="Arial"/>
              </w:rPr>
            </w:pPr>
            <w:r>
              <w:rPr>
                <w:rFonts w:ascii="Arial" w:hAnsi="Arial" w:cs="Arial"/>
              </w:rPr>
              <w:t>5</w:t>
            </w:r>
          </w:p>
        </w:tc>
        <w:tc>
          <w:tcPr>
            <w:tcW w:w="5144" w:type="dxa"/>
          </w:tcPr>
          <w:p w:rsidR="0037026F" w:rsidRPr="001206A6" w:rsidRDefault="0037026F" w:rsidP="00C6088A">
            <w:pPr>
              <w:spacing w:line="360" w:lineRule="auto"/>
              <w:jc w:val="both"/>
              <w:rPr>
                <w:rFonts w:ascii="Arial" w:hAnsi="Arial" w:cs="Arial"/>
              </w:rPr>
            </w:pPr>
            <w:r>
              <w:rPr>
                <w:rFonts w:ascii="Arial" w:hAnsi="Arial" w:cs="Arial"/>
              </w:rPr>
              <w:t xml:space="preserve">Schedule 4 applies to all members of statutory authority or a board of statutory authority. </w:t>
            </w:r>
          </w:p>
        </w:tc>
      </w:tr>
      <w:tr w:rsidR="0037026F" w:rsidTr="0037026F">
        <w:trPr>
          <w:trHeight w:val="241"/>
        </w:trPr>
        <w:tc>
          <w:tcPr>
            <w:tcW w:w="963" w:type="dxa"/>
          </w:tcPr>
          <w:p w:rsidR="0037026F" w:rsidRPr="00BE488C" w:rsidRDefault="0037026F" w:rsidP="0074182A">
            <w:pPr>
              <w:jc w:val="center"/>
              <w:rPr>
                <w:rFonts w:ascii="Arial" w:hAnsi="Arial" w:cs="Arial"/>
              </w:rPr>
            </w:pPr>
            <w:r>
              <w:rPr>
                <w:rFonts w:ascii="Arial" w:hAnsi="Arial" w:cs="Arial"/>
              </w:rPr>
              <w:t>3</w:t>
            </w:r>
          </w:p>
        </w:tc>
        <w:tc>
          <w:tcPr>
            <w:tcW w:w="1452" w:type="dxa"/>
          </w:tcPr>
          <w:p w:rsidR="0037026F" w:rsidRPr="00BE488C" w:rsidRDefault="0037026F" w:rsidP="0074182A">
            <w:pPr>
              <w:jc w:val="center"/>
              <w:rPr>
                <w:rFonts w:ascii="Arial" w:hAnsi="Arial" w:cs="Arial"/>
              </w:rPr>
            </w:pPr>
            <w:r w:rsidRPr="00BE488C">
              <w:rPr>
                <w:rFonts w:ascii="Arial" w:hAnsi="Arial" w:cs="Arial"/>
              </w:rPr>
              <w:t>7</w:t>
            </w:r>
          </w:p>
        </w:tc>
        <w:tc>
          <w:tcPr>
            <w:tcW w:w="1720" w:type="dxa"/>
          </w:tcPr>
          <w:p w:rsidR="0037026F" w:rsidRPr="00BE488C" w:rsidRDefault="0037026F" w:rsidP="0074182A">
            <w:pPr>
              <w:jc w:val="center"/>
              <w:rPr>
                <w:rFonts w:ascii="Arial" w:hAnsi="Arial" w:cs="Arial"/>
              </w:rPr>
            </w:pPr>
            <w:r>
              <w:rPr>
                <w:rFonts w:ascii="Arial" w:hAnsi="Arial" w:cs="Arial"/>
              </w:rPr>
              <w:t>6</w:t>
            </w:r>
          </w:p>
        </w:tc>
        <w:tc>
          <w:tcPr>
            <w:tcW w:w="5144" w:type="dxa"/>
          </w:tcPr>
          <w:p w:rsidR="0037026F" w:rsidRPr="00E0592B" w:rsidRDefault="0037026F" w:rsidP="00C6088A">
            <w:pPr>
              <w:spacing w:line="360" w:lineRule="auto"/>
              <w:jc w:val="both"/>
              <w:rPr>
                <w:rFonts w:ascii="Arial" w:hAnsi="Arial" w:cs="Arial"/>
              </w:rPr>
            </w:pPr>
            <w:r w:rsidRPr="00E0592B">
              <w:rPr>
                <w:rFonts w:ascii="Arial" w:hAnsi="Arial" w:cs="Arial"/>
              </w:rPr>
              <w:t xml:space="preserve">Schedule 5 applies to </w:t>
            </w:r>
            <w:r w:rsidR="00D1591B">
              <w:rPr>
                <w:rFonts w:ascii="Arial" w:hAnsi="Arial" w:cs="Arial"/>
              </w:rPr>
              <w:t xml:space="preserve">the </w:t>
            </w:r>
            <w:r w:rsidRPr="00E0592B">
              <w:rPr>
                <w:rFonts w:ascii="Arial" w:hAnsi="Arial" w:cs="Arial"/>
              </w:rPr>
              <w:t>CEO</w:t>
            </w:r>
            <w:r>
              <w:rPr>
                <w:rFonts w:ascii="Arial" w:hAnsi="Arial" w:cs="Arial"/>
              </w:rPr>
              <w:t xml:space="preserve">. </w:t>
            </w:r>
          </w:p>
        </w:tc>
      </w:tr>
      <w:tr w:rsidR="0037026F" w:rsidTr="0037026F">
        <w:trPr>
          <w:trHeight w:val="241"/>
        </w:trPr>
        <w:tc>
          <w:tcPr>
            <w:tcW w:w="963" w:type="dxa"/>
          </w:tcPr>
          <w:p w:rsidR="0037026F" w:rsidRPr="00BE488C" w:rsidRDefault="006D675A" w:rsidP="0074182A">
            <w:pPr>
              <w:jc w:val="center"/>
              <w:rPr>
                <w:rFonts w:ascii="Arial" w:hAnsi="Arial" w:cs="Arial"/>
              </w:rPr>
            </w:pPr>
            <w:r>
              <w:rPr>
                <w:rFonts w:ascii="Arial" w:hAnsi="Arial" w:cs="Arial"/>
              </w:rPr>
              <w:t>4</w:t>
            </w:r>
          </w:p>
        </w:tc>
        <w:tc>
          <w:tcPr>
            <w:tcW w:w="1452" w:type="dxa"/>
          </w:tcPr>
          <w:p w:rsidR="0037026F" w:rsidRPr="00BE488C" w:rsidRDefault="0037026F" w:rsidP="0074182A">
            <w:pPr>
              <w:jc w:val="center"/>
              <w:rPr>
                <w:rFonts w:ascii="Arial" w:hAnsi="Arial" w:cs="Arial"/>
              </w:rPr>
            </w:pPr>
            <w:r>
              <w:rPr>
                <w:rFonts w:ascii="Arial" w:hAnsi="Arial" w:cs="Arial"/>
              </w:rPr>
              <w:t>10</w:t>
            </w:r>
          </w:p>
        </w:tc>
        <w:tc>
          <w:tcPr>
            <w:tcW w:w="1720" w:type="dxa"/>
          </w:tcPr>
          <w:p w:rsidR="0037026F" w:rsidRPr="00BE488C" w:rsidRDefault="0037026F" w:rsidP="0074182A">
            <w:pPr>
              <w:jc w:val="center"/>
              <w:rPr>
                <w:rFonts w:ascii="Arial" w:hAnsi="Arial" w:cs="Arial"/>
              </w:rPr>
            </w:pPr>
            <w:r>
              <w:rPr>
                <w:rFonts w:ascii="Arial" w:hAnsi="Arial" w:cs="Arial"/>
              </w:rPr>
              <w:t>2</w:t>
            </w:r>
          </w:p>
        </w:tc>
        <w:tc>
          <w:tcPr>
            <w:tcW w:w="5144" w:type="dxa"/>
          </w:tcPr>
          <w:p w:rsidR="0037026F" w:rsidRPr="00E0592B" w:rsidRDefault="006D675A" w:rsidP="00C6088A">
            <w:pPr>
              <w:spacing w:line="360" w:lineRule="auto"/>
              <w:jc w:val="both"/>
              <w:rPr>
                <w:rFonts w:ascii="Arial" w:hAnsi="Arial" w:cs="Arial"/>
              </w:rPr>
            </w:pPr>
            <w:r>
              <w:rPr>
                <w:rFonts w:ascii="Arial" w:hAnsi="Arial" w:cs="Arial"/>
              </w:rPr>
              <w:t xml:space="preserve">Complaint to be in writing ensures credibility of information and reliable evidence. </w:t>
            </w:r>
          </w:p>
        </w:tc>
      </w:tr>
      <w:tr w:rsidR="0037026F" w:rsidTr="0037026F">
        <w:trPr>
          <w:trHeight w:val="475"/>
        </w:trPr>
        <w:tc>
          <w:tcPr>
            <w:tcW w:w="963" w:type="dxa"/>
          </w:tcPr>
          <w:p w:rsidR="0037026F" w:rsidRPr="00905EB6" w:rsidRDefault="0037026F" w:rsidP="00905EB6">
            <w:pPr>
              <w:jc w:val="center"/>
              <w:rPr>
                <w:rFonts w:ascii="Arial" w:hAnsi="Arial" w:cs="Arial"/>
              </w:rPr>
            </w:pPr>
            <w:r w:rsidRPr="00905EB6">
              <w:rPr>
                <w:rFonts w:ascii="Arial" w:hAnsi="Arial" w:cs="Arial"/>
              </w:rPr>
              <w:t>4</w:t>
            </w:r>
          </w:p>
        </w:tc>
        <w:tc>
          <w:tcPr>
            <w:tcW w:w="1452" w:type="dxa"/>
          </w:tcPr>
          <w:p w:rsidR="0037026F" w:rsidRPr="00E0592B" w:rsidRDefault="0053017C" w:rsidP="0074182A">
            <w:pPr>
              <w:jc w:val="center"/>
              <w:rPr>
                <w:rFonts w:ascii="Arial" w:hAnsi="Arial" w:cs="Arial"/>
              </w:rPr>
            </w:pPr>
            <w:r>
              <w:rPr>
                <w:rFonts w:ascii="Arial" w:hAnsi="Arial" w:cs="Arial"/>
              </w:rPr>
              <w:t>10</w:t>
            </w:r>
          </w:p>
        </w:tc>
        <w:tc>
          <w:tcPr>
            <w:tcW w:w="1720" w:type="dxa"/>
          </w:tcPr>
          <w:p w:rsidR="0037026F" w:rsidRPr="00E0592B" w:rsidRDefault="0053017C" w:rsidP="0074182A">
            <w:pPr>
              <w:jc w:val="center"/>
              <w:rPr>
                <w:rFonts w:ascii="Arial" w:hAnsi="Arial" w:cs="Arial"/>
              </w:rPr>
            </w:pPr>
            <w:r>
              <w:rPr>
                <w:rFonts w:ascii="Arial" w:hAnsi="Arial" w:cs="Arial"/>
              </w:rPr>
              <w:t>4</w:t>
            </w:r>
          </w:p>
        </w:tc>
        <w:tc>
          <w:tcPr>
            <w:tcW w:w="5144" w:type="dxa"/>
          </w:tcPr>
          <w:p w:rsidR="0037026F" w:rsidRPr="00E0592B" w:rsidRDefault="007B68DB" w:rsidP="00C6088A">
            <w:pPr>
              <w:spacing w:line="360" w:lineRule="auto"/>
              <w:jc w:val="both"/>
              <w:rPr>
                <w:rFonts w:ascii="Arial" w:hAnsi="Arial" w:cs="Arial"/>
              </w:rPr>
            </w:pPr>
            <w:r>
              <w:rPr>
                <w:rFonts w:ascii="Arial" w:hAnsi="Arial" w:cs="Arial"/>
              </w:rPr>
              <w:t xml:space="preserve">Any complaint against a member of the Commission being submitted to the Chief Justice ensures independence of complaint’s received. </w:t>
            </w:r>
          </w:p>
        </w:tc>
      </w:tr>
      <w:tr w:rsidR="00FD15A9" w:rsidTr="0037026F">
        <w:trPr>
          <w:trHeight w:val="475"/>
        </w:trPr>
        <w:tc>
          <w:tcPr>
            <w:tcW w:w="963" w:type="dxa"/>
          </w:tcPr>
          <w:p w:rsidR="00FD15A9" w:rsidRPr="00905EB6" w:rsidRDefault="00FD15A9" w:rsidP="00905EB6">
            <w:pPr>
              <w:jc w:val="center"/>
              <w:rPr>
                <w:rFonts w:ascii="Arial" w:hAnsi="Arial" w:cs="Arial"/>
              </w:rPr>
            </w:pPr>
            <w:r>
              <w:rPr>
                <w:rFonts w:ascii="Arial" w:hAnsi="Arial" w:cs="Arial"/>
              </w:rPr>
              <w:t>4</w:t>
            </w:r>
          </w:p>
        </w:tc>
        <w:tc>
          <w:tcPr>
            <w:tcW w:w="1452" w:type="dxa"/>
          </w:tcPr>
          <w:p w:rsidR="00FD15A9" w:rsidRDefault="00FD15A9" w:rsidP="0074182A">
            <w:pPr>
              <w:jc w:val="center"/>
              <w:rPr>
                <w:rFonts w:ascii="Arial" w:hAnsi="Arial" w:cs="Arial"/>
              </w:rPr>
            </w:pPr>
            <w:r>
              <w:rPr>
                <w:rFonts w:ascii="Arial" w:hAnsi="Arial" w:cs="Arial"/>
              </w:rPr>
              <w:t>11</w:t>
            </w:r>
          </w:p>
        </w:tc>
        <w:tc>
          <w:tcPr>
            <w:tcW w:w="1720" w:type="dxa"/>
          </w:tcPr>
          <w:p w:rsidR="00FD15A9" w:rsidRDefault="00FD15A9" w:rsidP="0074182A">
            <w:pPr>
              <w:jc w:val="center"/>
              <w:rPr>
                <w:rFonts w:ascii="Arial" w:hAnsi="Arial" w:cs="Arial"/>
              </w:rPr>
            </w:pPr>
          </w:p>
        </w:tc>
        <w:tc>
          <w:tcPr>
            <w:tcW w:w="5144" w:type="dxa"/>
          </w:tcPr>
          <w:p w:rsidR="00FD15A9" w:rsidRDefault="00FD15A9" w:rsidP="00C6088A">
            <w:pPr>
              <w:spacing w:line="360" w:lineRule="auto"/>
              <w:jc w:val="both"/>
              <w:rPr>
                <w:rFonts w:ascii="Arial" w:hAnsi="Arial" w:cs="Arial"/>
              </w:rPr>
            </w:pPr>
            <w:r>
              <w:rPr>
                <w:rFonts w:ascii="Arial" w:hAnsi="Arial" w:cs="Arial"/>
              </w:rPr>
              <w:t xml:space="preserve">Verification of information and identification is crucial given that the allegations made can be detrimental. </w:t>
            </w:r>
          </w:p>
          <w:p w:rsidR="00F55983" w:rsidRPr="00F55983" w:rsidRDefault="00F55983" w:rsidP="00C6088A">
            <w:pPr>
              <w:spacing w:line="360" w:lineRule="auto"/>
              <w:jc w:val="both"/>
              <w:rPr>
                <w:rFonts w:ascii="Arial" w:hAnsi="Arial" w:cs="Arial"/>
              </w:rPr>
            </w:pPr>
            <w:r>
              <w:rPr>
                <w:rFonts w:ascii="Arial" w:hAnsi="Arial" w:cs="Arial"/>
              </w:rPr>
              <w:t xml:space="preserve">The fact that </w:t>
            </w:r>
            <w:r w:rsidRPr="00C87A06">
              <w:rPr>
                <w:rFonts w:ascii="Arial" w:hAnsi="Arial" w:cs="Arial"/>
                <w:i/>
              </w:rPr>
              <w:t>the Commission must verify</w:t>
            </w:r>
            <w:r>
              <w:rPr>
                <w:rFonts w:ascii="Arial" w:hAnsi="Arial" w:cs="Arial"/>
                <w:i/>
              </w:rPr>
              <w:t xml:space="preserve"> </w:t>
            </w:r>
            <w:r>
              <w:rPr>
                <w:rFonts w:ascii="Arial" w:hAnsi="Arial" w:cs="Arial"/>
              </w:rPr>
              <w:t xml:space="preserve">ensures that verification is </w:t>
            </w:r>
            <w:r w:rsidR="003A5A2A">
              <w:rPr>
                <w:rFonts w:ascii="Arial" w:hAnsi="Arial" w:cs="Arial"/>
              </w:rPr>
              <w:t xml:space="preserve">a process that must be done. </w:t>
            </w:r>
          </w:p>
        </w:tc>
      </w:tr>
      <w:tr w:rsidR="00046DE4" w:rsidTr="0037026F">
        <w:trPr>
          <w:trHeight w:val="248"/>
        </w:trPr>
        <w:tc>
          <w:tcPr>
            <w:tcW w:w="963" w:type="dxa"/>
          </w:tcPr>
          <w:p w:rsidR="00046DE4" w:rsidRPr="00905EB6" w:rsidRDefault="00046DE4" w:rsidP="00046DE4">
            <w:pPr>
              <w:jc w:val="center"/>
              <w:rPr>
                <w:rFonts w:ascii="Arial" w:hAnsi="Arial" w:cs="Arial"/>
              </w:rPr>
            </w:pPr>
            <w:r>
              <w:rPr>
                <w:rFonts w:ascii="Arial" w:hAnsi="Arial" w:cs="Arial"/>
              </w:rPr>
              <w:t>4</w:t>
            </w:r>
          </w:p>
        </w:tc>
        <w:tc>
          <w:tcPr>
            <w:tcW w:w="1452" w:type="dxa"/>
          </w:tcPr>
          <w:p w:rsidR="00046DE4" w:rsidRPr="00E0592B" w:rsidRDefault="00046DE4" w:rsidP="00046DE4">
            <w:pPr>
              <w:jc w:val="center"/>
              <w:rPr>
                <w:rFonts w:ascii="Arial" w:hAnsi="Arial" w:cs="Arial"/>
              </w:rPr>
            </w:pPr>
            <w:r w:rsidRPr="00E0592B">
              <w:rPr>
                <w:rFonts w:ascii="Arial" w:hAnsi="Arial" w:cs="Arial"/>
              </w:rPr>
              <w:t>14</w:t>
            </w:r>
          </w:p>
        </w:tc>
        <w:tc>
          <w:tcPr>
            <w:tcW w:w="1720" w:type="dxa"/>
          </w:tcPr>
          <w:p w:rsidR="00046DE4" w:rsidRPr="00E0592B" w:rsidRDefault="00046DE4" w:rsidP="00046DE4">
            <w:pPr>
              <w:jc w:val="center"/>
              <w:rPr>
                <w:rFonts w:ascii="Arial" w:hAnsi="Arial" w:cs="Arial"/>
              </w:rPr>
            </w:pPr>
            <w:r w:rsidRPr="00E0592B">
              <w:rPr>
                <w:rFonts w:ascii="Arial" w:hAnsi="Arial" w:cs="Arial"/>
              </w:rPr>
              <w:t>1</w:t>
            </w:r>
          </w:p>
        </w:tc>
        <w:tc>
          <w:tcPr>
            <w:tcW w:w="5144" w:type="dxa"/>
          </w:tcPr>
          <w:p w:rsidR="00046DE4" w:rsidRPr="00E0592B" w:rsidRDefault="00046DE4" w:rsidP="00C6088A">
            <w:pPr>
              <w:spacing w:line="360" w:lineRule="auto"/>
              <w:jc w:val="both"/>
              <w:rPr>
                <w:rFonts w:ascii="Arial" w:hAnsi="Arial" w:cs="Arial"/>
              </w:rPr>
            </w:pPr>
            <w:r w:rsidRPr="00E0592B">
              <w:rPr>
                <w:rFonts w:ascii="Arial" w:hAnsi="Arial" w:cs="Arial"/>
              </w:rPr>
              <w:t>14days to respond</w:t>
            </w:r>
            <w:r w:rsidR="004B22EC">
              <w:rPr>
                <w:rFonts w:ascii="Arial" w:hAnsi="Arial" w:cs="Arial"/>
              </w:rPr>
              <w:t xml:space="preserve"> to the Complaint;</w:t>
            </w:r>
            <w:r>
              <w:rPr>
                <w:rFonts w:ascii="Arial" w:hAnsi="Arial" w:cs="Arial"/>
              </w:rPr>
              <w:t xml:space="preserve"> this gives a degree of fairness and natural justice to the person whom the complaint has been lodged against. </w:t>
            </w:r>
          </w:p>
        </w:tc>
      </w:tr>
      <w:tr w:rsidR="00046DE4" w:rsidTr="0037026F">
        <w:trPr>
          <w:trHeight w:val="475"/>
        </w:trPr>
        <w:tc>
          <w:tcPr>
            <w:tcW w:w="963" w:type="dxa"/>
          </w:tcPr>
          <w:p w:rsidR="00046DE4" w:rsidRPr="00905EB6" w:rsidRDefault="00046DE4" w:rsidP="00046DE4">
            <w:pPr>
              <w:jc w:val="center"/>
              <w:rPr>
                <w:rFonts w:ascii="Arial" w:hAnsi="Arial" w:cs="Arial"/>
              </w:rPr>
            </w:pPr>
            <w:r>
              <w:rPr>
                <w:rFonts w:ascii="Arial" w:hAnsi="Arial" w:cs="Arial"/>
              </w:rPr>
              <w:t>4</w:t>
            </w:r>
          </w:p>
        </w:tc>
        <w:tc>
          <w:tcPr>
            <w:tcW w:w="1452" w:type="dxa"/>
          </w:tcPr>
          <w:p w:rsidR="00046DE4" w:rsidRPr="00E0592B" w:rsidRDefault="004F1BEA" w:rsidP="00046DE4">
            <w:pPr>
              <w:jc w:val="center"/>
              <w:rPr>
                <w:rFonts w:ascii="Arial" w:hAnsi="Arial" w:cs="Arial"/>
              </w:rPr>
            </w:pPr>
            <w:r>
              <w:rPr>
                <w:rFonts w:ascii="Arial" w:hAnsi="Arial" w:cs="Arial"/>
              </w:rPr>
              <w:t>17</w:t>
            </w:r>
          </w:p>
        </w:tc>
        <w:tc>
          <w:tcPr>
            <w:tcW w:w="1720" w:type="dxa"/>
          </w:tcPr>
          <w:p w:rsidR="00046DE4" w:rsidRPr="00E0592B" w:rsidRDefault="00046DE4" w:rsidP="00046DE4">
            <w:pPr>
              <w:jc w:val="center"/>
              <w:rPr>
                <w:rFonts w:ascii="Arial" w:hAnsi="Arial" w:cs="Arial"/>
              </w:rPr>
            </w:pPr>
          </w:p>
        </w:tc>
        <w:tc>
          <w:tcPr>
            <w:tcW w:w="5144" w:type="dxa"/>
          </w:tcPr>
          <w:p w:rsidR="00046DE4" w:rsidRPr="00E0592B" w:rsidRDefault="0030623A" w:rsidP="00C6088A">
            <w:pPr>
              <w:spacing w:line="360" w:lineRule="auto"/>
              <w:jc w:val="both"/>
              <w:rPr>
                <w:rFonts w:ascii="Arial" w:hAnsi="Arial" w:cs="Arial"/>
              </w:rPr>
            </w:pPr>
            <w:r>
              <w:rPr>
                <w:rFonts w:ascii="Arial" w:hAnsi="Arial" w:cs="Arial"/>
              </w:rPr>
              <w:t xml:space="preserve">Given the nature of the proceedings </w:t>
            </w:r>
            <w:r w:rsidR="0067326A">
              <w:rPr>
                <w:rFonts w:ascii="Arial" w:hAnsi="Arial" w:cs="Arial"/>
              </w:rPr>
              <w:t>it is important that such process is conducted in private</w:t>
            </w:r>
            <w:r w:rsidR="00E46D7E">
              <w:rPr>
                <w:rFonts w:ascii="Arial" w:hAnsi="Arial" w:cs="Arial"/>
              </w:rPr>
              <w:t>.</w:t>
            </w:r>
          </w:p>
        </w:tc>
      </w:tr>
      <w:tr w:rsidR="00046DE4" w:rsidTr="00987850">
        <w:trPr>
          <w:trHeight w:val="836"/>
        </w:trPr>
        <w:tc>
          <w:tcPr>
            <w:tcW w:w="963" w:type="dxa"/>
          </w:tcPr>
          <w:p w:rsidR="00046DE4" w:rsidRPr="00BE488C" w:rsidRDefault="00046DE4" w:rsidP="00046DE4">
            <w:pPr>
              <w:jc w:val="center"/>
              <w:rPr>
                <w:rFonts w:ascii="Arial" w:hAnsi="Arial" w:cs="Arial"/>
              </w:rPr>
            </w:pPr>
            <w:r w:rsidRPr="00BE488C">
              <w:rPr>
                <w:rFonts w:ascii="Arial" w:hAnsi="Arial" w:cs="Arial"/>
              </w:rPr>
              <w:lastRenderedPageBreak/>
              <w:t>6</w:t>
            </w:r>
          </w:p>
        </w:tc>
        <w:tc>
          <w:tcPr>
            <w:tcW w:w="1452" w:type="dxa"/>
          </w:tcPr>
          <w:p w:rsidR="00046DE4" w:rsidRPr="00E0592B" w:rsidRDefault="00046DE4" w:rsidP="00046DE4">
            <w:pPr>
              <w:jc w:val="center"/>
              <w:rPr>
                <w:rFonts w:ascii="Arial" w:hAnsi="Arial" w:cs="Arial"/>
              </w:rPr>
            </w:pPr>
            <w:r>
              <w:rPr>
                <w:rFonts w:ascii="Arial" w:hAnsi="Arial" w:cs="Arial"/>
              </w:rPr>
              <w:t>26</w:t>
            </w:r>
          </w:p>
        </w:tc>
        <w:tc>
          <w:tcPr>
            <w:tcW w:w="1720" w:type="dxa"/>
          </w:tcPr>
          <w:p w:rsidR="00046DE4" w:rsidRPr="00E0592B" w:rsidRDefault="00046DE4" w:rsidP="00046DE4">
            <w:pPr>
              <w:jc w:val="center"/>
              <w:rPr>
                <w:rFonts w:ascii="Arial" w:hAnsi="Arial" w:cs="Arial"/>
              </w:rPr>
            </w:pPr>
          </w:p>
        </w:tc>
        <w:tc>
          <w:tcPr>
            <w:tcW w:w="5144" w:type="dxa"/>
          </w:tcPr>
          <w:p w:rsidR="00046DE4" w:rsidRPr="00E0592B" w:rsidRDefault="00046DE4" w:rsidP="00C6088A">
            <w:pPr>
              <w:spacing w:line="360" w:lineRule="auto"/>
              <w:jc w:val="both"/>
              <w:rPr>
                <w:rFonts w:ascii="Arial" w:hAnsi="Arial" w:cs="Arial"/>
              </w:rPr>
            </w:pPr>
            <w:r>
              <w:rPr>
                <w:rFonts w:ascii="Arial" w:hAnsi="Arial" w:cs="Arial"/>
              </w:rPr>
              <w:t>Only CEO to declare income, assets, other inte</w:t>
            </w:r>
            <w:r w:rsidR="004B22EC">
              <w:rPr>
                <w:rFonts w:ascii="Arial" w:hAnsi="Arial" w:cs="Arial"/>
              </w:rPr>
              <w:t>rests and liabilities. However, it is to include</w:t>
            </w:r>
            <w:r>
              <w:rPr>
                <w:rFonts w:ascii="Arial" w:hAnsi="Arial" w:cs="Arial"/>
              </w:rPr>
              <w:t xml:space="preserve"> spouse and children.</w:t>
            </w:r>
            <w:r w:rsidR="004B22EC">
              <w:rPr>
                <w:rFonts w:ascii="Arial" w:hAnsi="Arial" w:cs="Arial"/>
              </w:rPr>
              <w:t xml:space="preserve"> </w:t>
            </w:r>
            <w:r w:rsidR="00987850">
              <w:rPr>
                <w:rFonts w:ascii="Arial" w:hAnsi="Arial" w:cs="Arial"/>
              </w:rPr>
              <w:t>Declaration needs to be done every year.</w:t>
            </w:r>
          </w:p>
        </w:tc>
      </w:tr>
      <w:tr w:rsidR="00046DE4" w:rsidTr="0037026F">
        <w:trPr>
          <w:trHeight w:val="475"/>
        </w:trPr>
        <w:tc>
          <w:tcPr>
            <w:tcW w:w="963" w:type="dxa"/>
          </w:tcPr>
          <w:p w:rsidR="00046DE4" w:rsidRPr="00BE488C" w:rsidRDefault="00046DE4" w:rsidP="00046DE4">
            <w:pPr>
              <w:jc w:val="center"/>
              <w:rPr>
                <w:rFonts w:ascii="Arial" w:hAnsi="Arial" w:cs="Arial"/>
              </w:rPr>
            </w:pPr>
            <w:r>
              <w:rPr>
                <w:rFonts w:ascii="Arial" w:hAnsi="Arial" w:cs="Arial"/>
              </w:rPr>
              <w:t>6</w:t>
            </w:r>
          </w:p>
        </w:tc>
        <w:tc>
          <w:tcPr>
            <w:tcW w:w="1452" w:type="dxa"/>
          </w:tcPr>
          <w:p w:rsidR="00046DE4" w:rsidRDefault="00046DE4" w:rsidP="00046DE4">
            <w:pPr>
              <w:jc w:val="center"/>
              <w:rPr>
                <w:rFonts w:ascii="Arial" w:hAnsi="Arial" w:cs="Arial"/>
              </w:rPr>
            </w:pPr>
            <w:r>
              <w:rPr>
                <w:rFonts w:ascii="Arial" w:hAnsi="Arial" w:cs="Arial"/>
              </w:rPr>
              <w:t>27</w:t>
            </w:r>
          </w:p>
        </w:tc>
        <w:tc>
          <w:tcPr>
            <w:tcW w:w="1720" w:type="dxa"/>
          </w:tcPr>
          <w:p w:rsidR="00046DE4" w:rsidRDefault="00046DE4" w:rsidP="00046DE4">
            <w:pPr>
              <w:jc w:val="center"/>
              <w:rPr>
                <w:rFonts w:ascii="Arial" w:hAnsi="Arial" w:cs="Arial"/>
              </w:rPr>
            </w:pPr>
          </w:p>
        </w:tc>
        <w:tc>
          <w:tcPr>
            <w:tcW w:w="5144" w:type="dxa"/>
          </w:tcPr>
          <w:p w:rsidR="00046DE4" w:rsidRDefault="00046DE4" w:rsidP="00C6088A">
            <w:pPr>
              <w:spacing w:line="360" w:lineRule="auto"/>
              <w:jc w:val="both"/>
              <w:rPr>
                <w:rFonts w:ascii="Arial" w:hAnsi="Arial" w:cs="Arial"/>
              </w:rPr>
            </w:pPr>
            <w:r>
              <w:rPr>
                <w:rFonts w:ascii="Arial" w:hAnsi="Arial" w:cs="Arial"/>
              </w:rPr>
              <w:t>Any person can pay a f</w:t>
            </w:r>
            <w:r w:rsidR="00C97D59">
              <w:rPr>
                <w:rFonts w:ascii="Arial" w:hAnsi="Arial" w:cs="Arial"/>
              </w:rPr>
              <w:t xml:space="preserve">ee and request for information this ensures transparency. </w:t>
            </w:r>
          </w:p>
        </w:tc>
      </w:tr>
    </w:tbl>
    <w:p w:rsidR="00924175" w:rsidRDefault="00924175" w:rsidP="00924175">
      <w:pPr>
        <w:jc w:val="both"/>
        <w:rPr>
          <w:rFonts w:ascii="Arial" w:hAnsi="Arial" w:cs="Arial"/>
          <w:b/>
          <w:u w:val="single"/>
        </w:rPr>
      </w:pPr>
    </w:p>
    <w:p w:rsidR="00BE488C" w:rsidRDefault="00B73411" w:rsidP="00DE10D4">
      <w:pPr>
        <w:spacing w:line="360" w:lineRule="auto"/>
        <w:jc w:val="both"/>
        <w:rPr>
          <w:rFonts w:ascii="Arial" w:hAnsi="Arial" w:cs="Arial"/>
        </w:rPr>
      </w:pPr>
      <w:r>
        <w:rPr>
          <w:rFonts w:ascii="Arial" w:hAnsi="Arial" w:cs="Arial"/>
        </w:rPr>
        <w:t xml:space="preserve">Should there be any </w:t>
      </w:r>
      <w:r w:rsidR="002402A0">
        <w:rPr>
          <w:rFonts w:ascii="Arial" w:hAnsi="Arial" w:cs="Arial"/>
        </w:rPr>
        <w:t>need for further information</w:t>
      </w:r>
      <w:r>
        <w:rPr>
          <w:rFonts w:ascii="Arial" w:hAnsi="Arial" w:cs="Arial"/>
        </w:rPr>
        <w:t xml:space="preserve"> or clarification,</w:t>
      </w:r>
      <w:r w:rsidR="002402A0">
        <w:rPr>
          <w:rFonts w:ascii="Arial" w:hAnsi="Arial" w:cs="Arial"/>
        </w:rPr>
        <w:t xml:space="preserve"> please do not hesitate to contact the undersigned.</w:t>
      </w:r>
    </w:p>
    <w:p w:rsidR="002402A0" w:rsidRDefault="002402A0" w:rsidP="00924175">
      <w:pPr>
        <w:jc w:val="both"/>
        <w:rPr>
          <w:rFonts w:ascii="Arial" w:hAnsi="Arial" w:cs="Arial"/>
        </w:rPr>
      </w:pPr>
    </w:p>
    <w:p w:rsidR="002402A0" w:rsidRDefault="002402A0" w:rsidP="00924175">
      <w:pPr>
        <w:jc w:val="both"/>
        <w:rPr>
          <w:rFonts w:ascii="Arial" w:hAnsi="Arial" w:cs="Arial"/>
        </w:rPr>
      </w:pPr>
      <w:r>
        <w:rPr>
          <w:rFonts w:ascii="Arial" w:hAnsi="Arial" w:cs="Arial"/>
        </w:rPr>
        <w:t>Yours sincerely</w:t>
      </w:r>
    </w:p>
    <w:p w:rsidR="002402A0" w:rsidRDefault="002402A0" w:rsidP="00924175">
      <w:pPr>
        <w:jc w:val="both"/>
        <w:rPr>
          <w:rFonts w:ascii="Arial" w:hAnsi="Arial" w:cs="Arial"/>
        </w:rPr>
      </w:pPr>
    </w:p>
    <w:p w:rsidR="002402A0" w:rsidRDefault="002402A0" w:rsidP="00924175">
      <w:pPr>
        <w:jc w:val="both"/>
        <w:rPr>
          <w:rFonts w:ascii="Arial" w:hAnsi="Arial" w:cs="Arial"/>
        </w:rPr>
      </w:pPr>
      <w:r>
        <w:rPr>
          <w:rFonts w:ascii="Arial" w:hAnsi="Arial" w:cs="Arial"/>
        </w:rPr>
        <w:t>……………………</w:t>
      </w:r>
    </w:p>
    <w:p w:rsidR="002402A0" w:rsidRPr="002402A0" w:rsidRDefault="002402A0" w:rsidP="00924175">
      <w:pPr>
        <w:jc w:val="both"/>
        <w:rPr>
          <w:rFonts w:ascii="Arial" w:hAnsi="Arial" w:cs="Arial"/>
          <w:b/>
        </w:rPr>
      </w:pPr>
      <w:r w:rsidRPr="002402A0">
        <w:rPr>
          <w:rFonts w:ascii="Arial" w:hAnsi="Arial" w:cs="Arial"/>
          <w:b/>
        </w:rPr>
        <w:t>Joel Abraham (Mr.)</w:t>
      </w:r>
    </w:p>
    <w:p w:rsidR="002402A0" w:rsidRPr="002402A0" w:rsidRDefault="002402A0" w:rsidP="00924175">
      <w:pPr>
        <w:jc w:val="both"/>
        <w:rPr>
          <w:rFonts w:ascii="Arial" w:hAnsi="Arial" w:cs="Arial"/>
          <w:b/>
        </w:rPr>
      </w:pPr>
      <w:r w:rsidRPr="002402A0">
        <w:rPr>
          <w:rFonts w:ascii="Arial" w:hAnsi="Arial" w:cs="Arial"/>
          <w:b/>
        </w:rPr>
        <w:t>Chief Executive Officer.</w:t>
      </w:r>
    </w:p>
    <w:sectPr w:rsidR="002402A0" w:rsidRPr="002402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175"/>
    <w:rsid w:val="00011399"/>
    <w:rsid w:val="00030770"/>
    <w:rsid w:val="00046DE4"/>
    <w:rsid w:val="000C3E27"/>
    <w:rsid w:val="00117DC6"/>
    <w:rsid w:val="001206A6"/>
    <w:rsid w:val="001538F2"/>
    <w:rsid w:val="00184EED"/>
    <w:rsid w:val="001A0F11"/>
    <w:rsid w:val="002402A0"/>
    <w:rsid w:val="00260AC8"/>
    <w:rsid w:val="00263FEB"/>
    <w:rsid w:val="002947BE"/>
    <w:rsid w:val="0030623A"/>
    <w:rsid w:val="003101CF"/>
    <w:rsid w:val="003128B1"/>
    <w:rsid w:val="003176A0"/>
    <w:rsid w:val="0037026F"/>
    <w:rsid w:val="003A5A2A"/>
    <w:rsid w:val="003C1A48"/>
    <w:rsid w:val="004358C0"/>
    <w:rsid w:val="00491E86"/>
    <w:rsid w:val="004B22EC"/>
    <w:rsid w:val="004D4A4D"/>
    <w:rsid w:val="004E3161"/>
    <w:rsid w:val="004F1BEA"/>
    <w:rsid w:val="0053017C"/>
    <w:rsid w:val="00541635"/>
    <w:rsid w:val="00554AA6"/>
    <w:rsid w:val="00561A62"/>
    <w:rsid w:val="00582083"/>
    <w:rsid w:val="005A01E5"/>
    <w:rsid w:val="005A3647"/>
    <w:rsid w:val="005B3F16"/>
    <w:rsid w:val="00600F17"/>
    <w:rsid w:val="00664BEF"/>
    <w:rsid w:val="0067326A"/>
    <w:rsid w:val="00680BE7"/>
    <w:rsid w:val="0068207E"/>
    <w:rsid w:val="00682F24"/>
    <w:rsid w:val="00691DFC"/>
    <w:rsid w:val="006D675A"/>
    <w:rsid w:val="007030E5"/>
    <w:rsid w:val="007232B3"/>
    <w:rsid w:val="0074182A"/>
    <w:rsid w:val="007B68DB"/>
    <w:rsid w:val="007C30DD"/>
    <w:rsid w:val="008300C4"/>
    <w:rsid w:val="00830E8F"/>
    <w:rsid w:val="00832937"/>
    <w:rsid w:val="008C7139"/>
    <w:rsid w:val="008E5D9C"/>
    <w:rsid w:val="008F5B7D"/>
    <w:rsid w:val="00905EB6"/>
    <w:rsid w:val="009119AF"/>
    <w:rsid w:val="00924175"/>
    <w:rsid w:val="0094012B"/>
    <w:rsid w:val="00957DEB"/>
    <w:rsid w:val="00980F57"/>
    <w:rsid w:val="00983C90"/>
    <w:rsid w:val="00987850"/>
    <w:rsid w:val="00991B38"/>
    <w:rsid w:val="00991E19"/>
    <w:rsid w:val="009E56DB"/>
    <w:rsid w:val="00A10D10"/>
    <w:rsid w:val="00A159F1"/>
    <w:rsid w:val="00A25A2F"/>
    <w:rsid w:val="00A52B53"/>
    <w:rsid w:val="00A55815"/>
    <w:rsid w:val="00AA1503"/>
    <w:rsid w:val="00AA2655"/>
    <w:rsid w:val="00AD47BC"/>
    <w:rsid w:val="00B024D6"/>
    <w:rsid w:val="00B263FF"/>
    <w:rsid w:val="00B5585D"/>
    <w:rsid w:val="00B61AE4"/>
    <w:rsid w:val="00B73411"/>
    <w:rsid w:val="00B87FBA"/>
    <w:rsid w:val="00BA71BD"/>
    <w:rsid w:val="00BB2B4D"/>
    <w:rsid w:val="00BD25EC"/>
    <w:rsid w:val="00BE488C"/>
    <w:rsid w:val="00BF4E59"/>
    <w:rsid w:val="00C16E34"/>
    <w:rsid w:val="00C230CD"/>
    <w:rsid w:val="00C43681"/>
    <w:rsid w:val="00C6088A"/>
    <w:rsid w:val="00C76A56"/>
    <w:rsid w:val="00C87A06"/>
    <w:rsid w:val="00C87AA5"/>
    <w:rsid w:val="00C97D59"/>
    <w:rsid w:val="00CB1539"/>
    <w:rsid w:val="00CD40EF"/>
    <w:rsid w:val="00D1591B"/>
    <w:rsid w:val="00D41007"/>
    <w:rsid w:val="00D4294B"/>
    <w:rsid w:val="00D812F7"/>
    <w:rsid w:val="00D832E3"/>
    <w:rsid w:val="00D83D22"/>
    <w:rsid w:val="00DE10D4"/>
    <w:rsid w:val="00DE1173"/>
    <w:rsid w:val="00DF0837"/>
    <w:rsid w:val="00E028CA"/>
    <w:rsid w:val="00E0592B"/>
    <w:rsid w:val="00E46D7E"/>
    <w:rsid w:val="00E837EC"/>
    <w:rsid w:val="00EC6520"/>
    <w:rsid w:val="00EE0B0D"/>
    <w:rsid w:val="00F26D50"/>
    <w:rsid w:val="00F55983"/>
    <w:rsid w:val="00FB0545"/>
    <w:rsid w:val="00FC45E7"/>
    <w:rsid w:val="00FD15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B1EC2E-CFF9-4A58-AEA1-12780F372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41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BE488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853835">
      <w:bodyDiv w:val="1"/>
      <w:marLeft w:val="0"/>
      <w:marRight w:val="0"/>
      <w:marTop w:val="0"/>
      <w:marBottom w:val="0"/>
      <w:divBdr>
        <w:top w:val="none" w:sz="0" w:space="0" w:color="auto"/>
        <w:left w:val="none" w:sz="0" w:space="0" w:color="auto"/>
        <w:bottom w:val="none" w:sz="0" w:space="0" w:color="auto"/>
        <w:right w:val="none" w:sz="0" w:space="0" w:color="auto"/>
      </w:divBdr>
    </w:div>
    <w:div w:id="1017387018">
      <w:bodyDiv w:val="1"/>
      <w:marLeft w:val="0"/>
      <w:marRight w:val="0"/>
      <w:marTop w:val="0"/>
      <w:marBottom w:val="0"/>
      <w:divBdr>
        <w:top w:val="none" w:sz="0" w:space="0" w:color="auto"/>
        <w:left w:val="none" w:sz="0" w:space="0" w:color="auto"/>
        <w:bottom w:val="none" w:sz="0" w:space="0" w:color="auto"/>
        <w:right w:val="none" w:sz="0" w:space="0" w:color="auto"/>
      </w:divBdr>
      <w:divsChild>
        <w:div w:id="1893926236">
          <w:marLeft w:val="0"/>
          <w:marRight w:val="0"/>
          <w:marTop w:val="0"/>
          <w:marBottom w:val="0"/>
          <w:divBdr>
            <w:top w:val="none" w:sz="0" w:space="0" w:color="auto"/>
            <w:left w:val="none" w:sz="0" w:space="0" w:color="auto"/>
            <w:bottom w:val="none" w:sz="0" w:space="0" w:color="auto"/>
            <w:right w:val="none" w:sz="0" w:space="0" w:color="auto"/>
          </w:divBdr>
        </w:div>
        <w:div w:id="281573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A4177-9CFF-4AC9-854C-79F855F1F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604</Words>
  <Characters>3020</Characters>
  <Application>Microsoft Office Word</Application>
  <DocSecurity>4</DocSecurity>
  <Lines>94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Senikavika.Juita</dc:creator>
  <cp:keywords/>
  <dc:description/>
  <cp:lastModifiedBy>Ira Komaisavai</cp:lastModifiedBy>
  <cp:revision>2</cp:revision>
  <dcterms:created xsi:type="dcterms:W3CDTF">2019-02-05T04:52:00Z</dcterms:created>
  <dcterms:modified xsi:type="dcterms:W3CDTF">2019-02-05T04:52:00Z</dcterms:modified>
</cp:coreProperties>
</file>